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51EE6A6F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97E24" w:rsidRPr="00297E24">
              <w:rPr>
                <w:rFonts w:asciiTheme="majorHAnsi" w:hAnsiTheme="majorHAnsi"/>
                <w:b/>
                <w:sz w:val="18"/>
                <w:szCs w:val="18"/>
              </w:rPr>
              <w:t>Hemija neorganskih i organskih polutanata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747A6F53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97E24">
              <w:rPr>
                <w:rFonts w:asciiTheme="majorHAnsi" w:hAnsiTheme="majorHAnsi" w:cs="Arial"/>
                <w:b/>
                <w:sz w:val="18"/>
                <w:szCs w:val="18"/>
              </w:rPr>
              <w:t>HNiOP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5FC4F191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97E2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024D1310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97E24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12672AF2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77777777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338043C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97E2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60963A8E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6C65">
              <w:rPr>
                <w:rFonts w:asciiTheme="majorHAnsi" w:hAnsiTheme="majorHAnsi"/>
                <w:b/>
                <w:sz w:val="18"/>
                <w:szCs w:val="18"/>
              </w:rPr>
              <w:t>106,51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6B299956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97E2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4391EC17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6C65">
              <w:rPr>
                <w:rFonts w:asciiTheme="majorHAnsi" w:hAnsiTheme="majorHAnsi"/>
                <w:b/>
                <w:sz w:val="18"/>
                <w:szCs w:val="18"/>
              </w:rPr>
              <w:t>140,26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4F7D11C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FA0A09" w:rsidRPr="00FA0A09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6B02119C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Ćatović,vanr.prof</w:t>
            </w:r>
            <w:r w:rsidR="00FA0A09">
              <w:rPr>
                <w:rFonts w:asciiTheme="majorHAnsi" w:hAnsiTheme="majorHAnsi" w:cs="Arial"/>
                <w:b/>
                <w:sz w:val="18"/>
                <w:szCs w:val="18"/>
              </w:rPr>
              <w:t>.,</w:t>
            </w:r>
            <w:r w:rsidR="00FA0A09" w:rsidRPr="00FA0A09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636C65">
              <w:rPr>
                <w:rFonts w:asciiTheme="majorHAnsi" w:hAnsiTheme="majorHAnsi" w:cs="Arial"/>
                <w:b/>
                <w:sz w:val="18"/>
                <w:szCs w:val="18"/>
              </w:rPr>
              <w:t>Melita Huremović</w:t>
            </w:r>
            <w:r w:rsidR="00FA0A09">
              <w:rPr>
                <w:rFonts w:asciiTheme="majorHAnsi" w:hAnsiTheme="majorHAnsi" w:cs="Arial"/>
                <w:b/>
                <w:sz w:val="18"/>
                <w:szCs w:val="18"/>
              </w:rPr>
              <w:t>,red.prof.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17BAB5C2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0A09" w:rsidRPr="00FA0A09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toksičnim djelovanjem neorganskih jedinjenja na okolinu. Upoznavanje studenata sa najznačajnijim organskim polutantima vode, zraka i tla. Metode analize organskih polutanata.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549881F0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0A09" w:rsidRPr="00FA0A09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uspješnog završetka procesa učenja, od studenata se očekuje da poznaju fizičko-hemijsk osobine  raznih organskih i neorganskih polutanata, uključujući izvore zagađenja, njihovo opasno djelovanje na životnu sredinu kao i metode njihovog određivanja.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8BF909D" w14:textId="77777777" w:rsidR="00FA0A09" w:rsidRPr="00FA0A09" w:rsidRDefault="00827B44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0A09" w:rsidRPr="00FA0A09">
              <w:rPr>
                <w:rFonts w:asciiTheme="majorHAnsi" w:hAnsiTheme="majorHAnsi"/>
                <w:b/>
                <w:sz w:val="18"/>
                <w:szCs w:val="18"/>
              </w:rPr>
              <w:t>Osnovne definicije: toksikologija i ekotoksikologija</w:t>
            </w:r>
          </w:p>
          <w:p w14:paraId="181BD7C4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Kratak historijski pregled</w:t>
            </w:r>
          </w:p>
          <w:p w14:paraId="7F312FEC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Metalni ioni i toksičnost</w:t>
            </w:r>
          </w:p>
          <w:p w14:paraId="1D087A01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Ponašanje metala i metaloida u okolini</w:t>
            </w:r>
          </w:p>
          <w:p w14:paraId="693D4935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Mobilizacija, vezivanje i hemijske forme metala u okolini</w:t>
            </w:r>
          </w:p>
          <w:p w14:paraId="6F2E7614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Biološka dostupnost metala u okolini</w:t>
            </w:r>
          </w:p>
          <w:p w14:paraId="6474D8D2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Biokoncentracija, bioakumulacija i biomagnifikacija metala u okolišu</w:t>
            </w:r>
          </w:p>
          <w:p w14:paraId="718AD54C" w14:textId="77777777" w:rsid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Ekološke osobine, rizici i toksičnost teških metala</w:t>
            </w:r>
          </w:p>
          <w:p w14:paraId="71AEDE5B" w14:textId="3835585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  <w:p w14:paraId="5C9542BE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Organski polutanti: vrste organskih polutanata.Izvori zagađenja,</w:t>
            </w:r>
          </w:p>
          <w:p w14:paraId="652E4C43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Strukture, izvori, osobine, stabilnost, rastvorljivost, toksičnost,</w:t>
            </w:r>
          </w:p>
          <w:p w14:paraId="3C308CFE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otpornost na degradaciju, isparljivost, bioakumulacija nekih polutanata:</w:t>
            </w:r>
          </w:p>
          <w:p w14:paraId="2D9DC045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POPs (perzistentni organski polutanti, zagađivači).</w:t>
            </w:r>
          </w:p>
          <w:p w14:paraId="17E5E24C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Pesticidi</w:t>
            </w:r>
          </w:p>
          <w:p w14:paraId="69273F2B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Volatilni organski spojevi, VOCs</w:t>
            </w:r>
          </w:p>
          <w:p w14:paraId="21AF525A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(PCBs) polihlorirani bifenili</w:t>
            </w:r>
          </w:p>
          <w:p w14:paraId="5DF71897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(PAHs) policiklički aromatski ugljikovodici</w:t>
            </w:r>
          </w:p>
          <w:p w14:paraId="6B774726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mineralna ulja; ukupne masti i ulja,</w:t>
            </w:r>
          </w:p>
          <w:p w14:paraId="59F16507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fenoli</w:t>
            </w:r>
          </w:p>
          <w:p w14:paraId="1CBDB0DC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sapuni i deterdženti</w:t>
            </w:r>
          </w:p>
          <w:p w14:paraId="3436B04E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nafta i njeni produkti</w:t>
            </w:r>
          </w:p>
          <w:p w14:paraId="311665A5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neki izabrani organski polutanti</w:t>
            </w:r>
          </w:p>
          <w:p w14:paraId="0C902E3B" w14:textId="43464574" w:rsidR="00827B44" w:rsidRDefault="00FA0A09" w:rsidP="00FA0A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Metode određivanja organskih polutanata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B2AC49F" w14:textId="77777777" w:rsidR="00C40561" w:rsidRPr="00C40561" w:rsidRDefault="00827B44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22C5CDE6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215E1859" w14:textId="77777777" w:rsidR="00FA0A09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praktične  vježbe</w:t>
            </w:r>
          </w:p>
          <w:p w14:paraId="1978A4A2" w14:textId="2B22331E" w:rsidR="00C40561" w:rsidRPr="00C40561" w:rsidRDefault="00FA0A09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 auditorne vježbe</w:t>
            </w:r>
            <w:r w:rsidR="00C40561" w:rsidRPr="00C4056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0C902E4A" w14:textId="4450978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D75C215" w14:textId="77777777" w:rsidR="00FA0A09" w:rsidRPr="00FA0A09" w:rsidRDefault="00827B44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0A09"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Za provjeru usvojenog znanja na predmetu se koriste pismene metode (testovi) i usmene metode. </w:t>
            </w:r>
          </w:p>
          <w:p w14:paraId="49A36490" w14:textId="18AE2CF0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- Za kontinuirano pohađanje i aktivnost na nastavi u toku  semestra student može ostvariti maksimalno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 bodova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a minimalno 3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  <w:p w14:paraId="1C55C65A" w14:textId="5CE26FF5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- Nakon odrađenih eksperimentalnih vježbi, student polaže kolokvj koji se boduje sa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 bodova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a minimalno 6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  <w:p w14:paraId="21A71C9A" w14:textId="186BF472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Tokom semestra studenti pripremaju seminarski rad iz oblasti Syllabusa a maksimalan broj bodova iznosi 10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a minimalno 6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  <w:p w14:paraId="2300F260" w14:textId="05C5B27C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Tokom semestra studenti pismeno polažu dva testa koji obuhvata  obrađenu tematiku sa predavanja i auditornih vježbi. Student na testovima može ostvariti maksimalno 2x20 bodova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a minimalno po 11 bodova.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. </w:t>
            </w:r>
          </w:p>
          <w:p w14:paraId="765F09B7" w14:textId="77777777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- Završni ispit se polaže pismeno/usmeno, a maksimalan broj bodova koji student može ostvariti iznosi 35 bodova. </w:t>
            </w:r>
          </w:p>
          <w:p w14:paraId="5D7B3186" w14:textId="72847149" w:rsidR="00C40561" w:rsidRPr="00C40561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- Provjere na svim oblicima znanja priznaju se kao kumulativni ispit. Da bi položio predmet, student mora ostvariti minimalno 5</w:t>
            </w:r>
            <w:r w:rsidR="00EC209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 kumulativna boda</w:t>
            </w:r>
            <w:r w:rsidR="00EC209A">
              <w:rPr>
                <w:rFonts w:asciiTheme="majorHAnsi" w:hAnsiTheme="majorHAnsi"/>
                <w:b/>
                <w:sz w:val="18"/>
                <w:szCs w:val="18"/>
              </w:rPr>
              <w:t xml:space="preserve"> od čega minimalno na završnom ispitu 18 bodova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 w:rsidR="00C40561" w:rsidRPr="00C40561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5A27D4B1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45178389" w14:textId="5E0FD23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0-54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 (pet)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321DF490" w14:textId="7DBA985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 (šest)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dovoljan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</w:p>
          <w:p w14:paraId="423C1154" w14:textId="48FF271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7(sedam)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15719544" w14:textId="2802BB7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1780BB3" w14:textId="5A0B96E9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85-94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 (devet)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35659C22" w14:textId="1198497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95-100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10(deset)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odličan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A</w:t>
            </w:r>
          </w:p>
          <w:p w14:paraId="0C902E5B" w14:textId="1623907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F9E0742" w14:textId="1AD521BD" w:rsidR="00FA0A09" w:rsidRPr="00FA0A09" w:rsidRDefault="00827B44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0A09"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Obaveze studenta:                                    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="00FA0A09"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 Bodovi (min/max)</w:t>
            </w:r>
          </w:p>
          <w:p w14:paraId="6C896031" w14:textId="28368FA3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1. Angažman na nastavi i vježbama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/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14:paraId="6D3C3A40" w14:textId="73D9EAF4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2.  Kolokvij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/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14:paraId="3A938C3B" w14:textId="77162599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3. Seminarski rad   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6/10</w:t>
            </w:r>
          </w:p>
          <w:p w14:paraId="49778B53" w14:textId="1EC1E419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3.  Test I                    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11/20</w:t>
            </w:r>
          </w:p>
          <w:p w14:paraId="0A28CB78" w14:textId="36AB9AB4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4. Test II                   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11/20 </w:t>
            </w:r>
          </w:p>
          <w:p w14:paraId="5A1265AD" w14:textId="51AFB549" w:rsidR="00FA0A09" w:rsidRPr="00FA0A09" w:rsidRDefault="00FA0A09" w:rsidP="00FA0A0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4.  Završni ispit      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18/35</w:t>
            </w:r>
          </w:p>
          <w:p w14:paraId="0C902E6F" w14:textId="277B135D" w:rsidR="00827B44" w:rsidRDefault="00FA0A09" w:rsidP="00FA0A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 xml:space="preserve">U k u p n o               </w:t>
            </w:r>
            <w:r w:rsidR="0073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</w:t>
            </w:r>
            <w:r w:rsidRPr="00FA0A09">
              <w:rPr>
                <w:rFonts w:asciiTheme="majorHAnsi" w:hAnsiTheme="majorHAnsi"/>
                <w:b/>
                <w:sz w:val="18"/>
                <w:szCs w:val="18"/>
              </w:rPr>
              <w:t>55/100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9C54FC9" w14:textId="57E370C8" w:rsidR="00A0655E" w:rsidRPr="00A0655E" w:rsidRDefault="00827B44" w:rsidP="00A0655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/>
                <w:b/>
                <w:sz w:val="18"/>
                <w:szCs w:val="18"/>
              </w:rPr>
              <w:t>1. Selimbašić V, Cipurković A, Crnkić A,Hemija i zaštita okoline,OFF-SET,Tuzla,2014.</w:t>
            </w:r>
          </w:p>
          <w:p w14:paraId="0C902E7C" w14:textId="464E8DAD" w:rsidR="00827B44" w:rsidRDefault="00A0655E" w:rsidP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Pr="00A0655E">
              <w:rPr>
                <w:rFonts w:asciiTheme="majorHAnsi" w:hAnsiTheme="majorHAnsi"/>
                <w:b/>
                <w:sz w:val="18"/>
                <w:szCs w:val="18"/>
              </w:rPr>
              <w:t>The Handbook of Environmental Chemistry; Damia Barcelo; Andrey G. Kostianoy, 2012.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88" w14:textId="5712730F" w:rsidR="00827B44" w:rsidRDefault="00827B44" w:rsidP="0073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73212F" w:rsidRPr="0073212F">
              <w:rPr>
                <w:rFonts w:asciiTheme="majorHAnsi" w:hAnsiTheme="majorHAnsi" w:cs="Arial"/>
                <w:b/>
                <w:sz w:val="18"/>
                <w:szCs w:val="18"/>
              </w:rPr>
              <w:t xml:space="preserve"> P. Welbourn, D, Wright, Environmental toxicology, Cambridge University Press,2002.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1ADC7061" w:rsidR="00827B44" w:rsidRDefault="00827B44" w:rsidP="009455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73212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36C6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3212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 w:rsidRPr="0073212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3212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3212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73212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73212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73212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E8EB1" w14:textId="77777777" w:rsidR="008B0823" w:rsidRDefault="008B0823">
      <w:pPr>
        <w:spacing w:line="240" w:lineRule="auto"/>
      </w:pPr>
      <w:r>
        <w:separator/>
      </w:r>
    </w:p>
  </w:endnote>
  <w:endnote w:type="continuationSeparator" w:id="0">
    <w:p w14:paraId="08C28B71" w14:textId="77777777" w:rsidR="008B0823" w:rsidRDefault="008B08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4F2F27D6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C209A">
            <w:rPr>
              <w:rFonts w:ascii="Cambria" w:hAnsi="Cambria" w:cs="Calibri"/>
              <w:noProof/>
              <w:sz w:val="16"/>
              <w:szCs w:val="16"/>
            </w:rPr>
            <w:t>27.2.2026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55B4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55B4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C7DE" w14:textId="77777777" w:rsidR="008B0823" w:rsidRDefault="008B0823">
      <w:pPr>
        <w:spacing w:after="0"/>
      </w:pPr>
      <w:r>
        <w:separator/>
      </w:r>
    </w:p>
  </w:footnote>
  <w:footnote w:type="continuationSeparator" w:id="0">
    <w:p w14:paraId="53A7F7A0" w14:textId="77777777" w:rsidR="008B0823" w:rsidRDefault="008B08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97E2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527A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5E5D"/>
    <w:rsid w:val="00626065"/>
    <w:rsid w:val="006311E3"/>
    <w:rsid w:val="00631643"/>
    <w:rsid w:val="00633494"/>
    <w:rsid w:val="006339CD"/>
    <w:rsid w:val="00636C65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12F"/>
    <w:rsid w:val="007322C4"/>
    <w:rsid w:val="00736FAD"/>
    <w:rsid w:val="0073727B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6DE1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0823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209A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09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E578-A8D2-40A4-B18E-502424C4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26</cp:revision>
  <cp:lastPrinted>2024-03-19T08:24:00Z</cp:lastPrinted>
  <dcterms:created xsi:type="dcterms:W3CDTF">2024-03-26T10:33:00Z</dcterms:created>
  <dcterms:modified xsi:type="dcterms:W3CDTF">2026-02-27T12:56:00Z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